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Lato" w:cs="Lato" w:eastAsia="Lato" w:hAnsi="Lato"/>
          <w:b/>
          <w:bCs/>
          <w:caps w:val="false"/>
          <w:color w:val="16191E"/>
          <w:sz w:val="53"/>
          <w:szCs w:val="53"/>
        </w:rPr>
        <w:t xml:space="preserve">Dana Okafor</w:t>
      </w:r>
    </w:p>
    <w:p>
      <w:pPr>
        <w:spacing w:before="60"/>
        <w:jc w:val="left"/>
      </w:pPr>
      <w:r>
        <w:rPr>
          <w:rFonts w:ascii="Lato" w:cs="Lato" w:eastAsia="Lato" w:hAnsi="Lato"/>
          <w:b/>
          <w:bCs/>
          <w:i w:val="false"/>
          <w:iCs w:val="false"/>
          <w:caps w:val="false"/>
          <w:color w:val="1C5D8C"/>
          <w:sz w:val="25"/>
          <w:szCs w:val="25"/>
        </w:rPr>
        <w:t xml:space="preserve">Management and Program Analyst</w:t>
      </w:r>
    </w:p>
    <w:p>
      <w:pPr>
        <w:spacing w:before="120"/>
        <w:jc w:val="left"/>
      </w:pPr>
      <w:r>
        <w:rPr>
          <w:rFonts w:ascii="Lato" w:cs="Lato" w:eastAsia="Lato" w:hAnsi="Lato"/>
          <w:color w:val="5F6772"/>
          <w:sz w:val="21"/>
          <w:szCs w:val="21"/>
        </w:rPr>
        <w:t xml:space="preserve">Washington, DC</w:t>
      </w:r>
      <w:r>
        <w:rPr>
          <w:rFonts w:ascii="Lato" w:cs="Lato" w:eastAsia="Lato" w:hAnsi="Lato"/>
          <w:color w:val="A3AAB3"/>
          <w:sz w:val="21"/>
          <w:szCs w:val="21"/>
        </w:rPr>
        <w:t xml:space="preserve"> · </w:t>
      </w:r>
      <w:r>
        <w:rPr>
          <w:rFonts w:ascii="Lato" w:cs="Lato" w:eastAsia="Lato" w:hAnsi="Lato"/>
          <w:color w:val="5F6772"/>
          <w:sz w:val="21"/>
          <w:szCs w:val="21"/>
        </w:rPr>
        <w:t xml:space="preserve">dana.okafor@example.com</w:t>
      </w:r>
      <w:r>
        <w:rPr>
          <w:rFonts w:ascii="Lato" w:cs="Lato" w:eastAsia="Lato" w:hAnsi="Lato"/>
          <w:color w:val="A3AAB3"/>
          <w:sz w:val="21"/>
          <w:szCs w:val="21"/>
        </w:rPr>
        <w:t xml:space="preserve"> · </w:t>
      </w:r>
      <w:r>
        <w:rPr>
          <w:rFonts w:ascii="Lato" w:cs="Lato" w:eastAsia="Lato" w:hAnsi="Lato"/>
          <w:color w:val="5F6772"/>
          <w:sz w:val="21"/>
          <w:szCs w:val="21"/>
        </w:rPr>
        <w:t xml:space="preserve">(555) 555-0167</w:t>
      </w:r>
    </w:p>
    <w:p>
      <w:pPr>
        <w:spacing w:before="20"/>
        <w:jc w:val="left"/>
      </w:pPr>
      <w:r>
        <w:rPr>
          <w:rFonts w:ascii="Lato" w:cs="Lato" w:eastAsia="Lato" w:hAnsi="Lato"/>
          <w:color w:val="5F6772"/>
          <w:sz w:val="21"/>
          <w:szCs w:val="21"/>
        </w:rPr>
        <w:t xml:space="preserve">U.S. citizen · Current federal employee (career)</w:t>
      </w:r>
    </w:p>
    <w:p>
      <w:pPr>
        <w:keepNext/>
        <w:pBdr>
          <w:bottom w:val="single" w:color="D7DBE0" w:sz="4" w:space="3"/>
        </w:pBdr>
        <w:spacing w:after="125" w:before="283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Summary</w:t>
      </w:r>
    </w:p>
    <w:p>
      <w:pPr>
        <w:spacing w:before="0"/>
      </w:pPr>
      <w:r>
        <w:rPr>
          <w:rFonts w:ascii="Lato" w:cs="Lato" w:eastAsia="Lato" w:hAnsi="Lato"/>
          <w:color w:val="2A2F37"/>
          <w:sz w:val="21"/>
          <w:szCs w:val="21"/>
        </w:rPr>
        <w:t xml:space="preserve">Management and program analyst with 11 years of experience in program evaluation, workload and staffing analysis, performance measurement and writing for senior leaders, including 5 years at GS-12 leading district-wide evaluations. Seeking a GS-0343-13 Management and Program Analyst position.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Work experience</w:t>
      </w:r>
    </w:p>
    <w:p>
      <w:pPr>
        <w:keepNext/>
        <w:tabs>
          <w:tab w:val="right" w:pos="10880"/>
        </w:tabs>
        <w:spacing w:before="0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Management and Program Analyst</w:t>
      </w:r>
      <w:r>
        <w:rPr>
          <w:rFonts w:ascii="Lato" w:cs="Lato" w:eastAsia="Lato" w:hAnsi="Lato"/>
          <w:color w:val="5F6772"/>
          <w:sz w:val="21"/>
          <w:szCs w:val="21"/>
        </w:rPr>
        <w:t xml:space="preserve">	08/2021 – Present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U.S. Department of Veterans Affairs, Veterans Benefits Administration, Washington, DC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GS-0343-12 · 40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Lead evaluations of disability compensation claims processing across a 14-office district: define the evaluation questions and performance measures, direct a team of 4 analysts and present findings to the district director and headquarters staff.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Designed a workload-based staffing model from 3 years of claims data; leadership used it to move 38 positions between offices, and average days to complete a claim fell from 141 to 104 within 18 months.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Analyzed the effect of new eligibility legislation on district workload and resources; my forecast of a 22% rise in claims set the FY2024 hiring and overtime plan, and actual receipts came within 3% of it.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Wrote 23 decision papers, briefings and evaluation reports for senior executives since 2023; 9 of the 11 recommendations in my 2024 quality review were adopted.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Led a process improvement review of claims intake with staff from 5 offices that removed 3 hand-offs and cut rework from 18% to 9% of cases.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Built and maintain the district performance dashboard in Tableau and SQL from 4 data sources, used weekly by 60 managers to track timeliness and accuracy goals.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Drafted the goals, milestones and measures in the district’s 5-year operating plan, and run the quarterly reviews against them.</w:t>
      </w:r>
    </w:p>
    <w:p>
      <w:pPr>
        <w:keepNext/>
        <w:tabs>
          <w:tab w:val="right" w:pos="10880"/>
        </w:tabs>
        <w:spacing w:before="136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Program Analyst</w:t>
      </w:r>
      <w:r>
        <w:rPr>
          <w:rFonts w:ascii="Lato" w:cs="Lato" w:eastAsia="Lato" w:hAnsi="Lato"/>
          <w:color w:val="5F6772"/>
          <w:sz w:val="21"/>
          <w:szCs w:val="21"/>
        </w:rPr>
        <w:t xml:space="preserve">	06/2018 – 07/2021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U.S. Department of Labor, Employment and Training Administration, Philadelphia, PA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GS-0343-11 · 40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Monitored performance of workforce grant programs in 6 states worth $210 million a year against federal reporting requirements, and flagged states at risk of missing outcome goals.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Conducted 24 on-site and remote program reviews; findings led 4 states to correct reporting errors in their outcome data.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Built a risk model that ranked grantees for review, focusing staff time on the 15% with the most past findings.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Wrote quarterly performance reports and briefings for the regional administrator.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Analyzed revised federal performance reporting rules for their effect on state grantees, then wrote the regional guidance and led 6 webinars for state staff.</w:t>
      </w:r>
    </w:p>
    <w:p>
      <w:pPr>
        <w:keepNext/>
        <w:tabs>
          <w:tab w:val="right" w:pos="10880"/>
        </w:tabs>
        <w:spacing w:before="136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Operations Analyst</w:t>
      </w:r>
      <w:r>
        <w:rPr>
          <w:rFonts w:ascii="Lato" w:cs="Lato" w:eastAsia="Lato" w:hAnsi="Lato"/>
          <w:color w:val="5F6772"/>
          <w:sz w:val="21"/>
          <w:szCs w:val="21"/>
        </w:rPr>
        <w:t xml:space="preserve">	07/2013 – 08/2016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Calloway Health Partners, Baltimore, MD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40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Analyzed scheduling and staffing data for 9 outpatient clinics; recommended schedule changes that cut the average wait for a new appointment from 19 to 11 days.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Mapped the specialist referral process with staff from 3 departments and removed a duplicate approval, cutting median referral time from 6 days to 2.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Wrote the monthly operations report for the executive team and trained clinic managers to use it.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Education</w:t>
      </w:r>
    </w:p>
    <w:p>
      <w:pPr>
        <w:keepNext/>
        <w:tabs>
          <w:tab w:val="right" w:pos="10880"/>
        </w:tabs>
        <w:spacing w:before="0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Master of Public Policy</w:t>
      </w:r>
      <w:r>
        <w:rPr>
          <w:rFonts w:ascii="Lato" w:cs="Lato" w:eastAsia="Lato" w:hAnsi="Lato"/>
          <w:color w:val="5F6772"/>
          <w:sz w:val="21"/>
          <w:szCs w:val="21"/>
        </w:rPr>
        <w:t xml:space="preserve">	05/2018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George Mason University</w:t>
      </w:r>
      <w:r>
        <w:rPr>
          <w:rFonts w:ascii="Lato" w:cs="Lato" w:eastAsia="Lato" w:hAnsi="Lato"/>
          <w:color w:val="5F6772"/>
          <w:sz w:val="20"/>
          <w:szCs w:val="20"/>
        </w:rPr>
        <w:t xml:space="preserve"> · </w:t>
      </w:r>
      <w:r>
        <w:rPr>
          <w:rFonts w:ascii="Lato" w:cs="Lato" w:eastAsia="Lato" w:hAnsi="Lato"/>
          <w:color w:val="5F6772"/>
          <w:sz w:val="20"/>
          <w:szCs w:val="20"/>
        </w:rPr>
        <w:t xml:space="preserve">GPA 3.7/4.0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Capstone: evaluated the outcomes of a county job-training program for its oversight board</w:t>
      </w:r>
    </w:p>
    <w:p>
      <w:pPr>
        <w:keepNext/>
        <w:tabs>
          <w:tab w:val="right" w:pos="10880"/>
        </w:tabs>
        <w:spacing w:before="136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Bachelor of Arts, Economics</w:t>
      </w:r>
      <w:r>
        <w:rPr>
          <w:rFonts w:ascii="Lato" w:cs="Lato" w:eastAsia="Lato" w:hAnsi="Lato"/>
          <w:color w:val="5F6772"/>
          <w:sz w:val="21"/>
          <w:szCs w:val="21"/>
        </w:rPr>
        <w:t xml:space="preserve">	05/2013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University of Maryland, College Park</w:t>
      </w:r>
      <w:r>
        <w:rPr>
          <w:rFonts w:ascii="Lato" w:cs="Lato" w:eastAsia="Lato" w:hAnsi="Lato"/>
          <w:color w:val="5F6772"/>
          <w:sz w:val="20"/>
          <w:szCs w:val="20"/>
        </w:rPr>
        <w:t xml:space="preserve"> · </w:t>
      </w:r>
      <w:r>
        <w:rPr>
          <w:rFonts w:ascii="Lato" w:cs="Lato" w:eastAsia="Lato" w:hAnsi="Lato"/>
          <w:color w:val="5F6772"/>
          <w:sz w:val="20"/>
          <w:szCs w:val="20"/>
        </w:rPr>
        <w:t xml:space="preserve">GPA 3.5/4.0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Certifications and training</w:t>
      </w:r>
    </w:p>
    <w:p>
      <w:pPr>
        <w:tabs>
          <w:tab w:val="right" w:pos="10880"/>
        </w:tabs>
        <w:spacing w:before="0"/>
      </w:pPr>
      <w:r>
        <w:rPr>
          <w:rFonts w:ascii="Lato" w:cs="Lato" w:eastAsia="Lato" w:hAnsi="Lato"/>
          <w:color w:val="16191E"/>
          <w:sz w:val="21"/>
          <w:szCs w:val="21"/>
        </w:rPr>
        <w:t xml:space="preserve">Project Management Professional (PMP)</w:t>
      </w:r>
      <w:r>
        <w:rPr>
          <w:rFonts w:ascii="Lato" w:cs="Lato" w:eastAsia="Lato" w:hAnsi="Lato"/>
          <w:color w:val="5F6772"/>
          <w:sz w:val="21"/>
          <w:szCs w:val="21"/>
        </w:rPr>
        <w:t xml:space="preserve">, Project Management Institute</w:t>
      </w:r>
      <w:r>
        <w:rPr>
          <w:rFonts w:ascii="Lato" w:cs="Lato" w:eastAsia="Lato" w:hAnsi="Lato"/>
          <w:color w:val="5F6772"/>
          <w:sz w:val="21"/>
          <w:szCs w:val="21"/>
        </w:rPr>
        <w:t xml:space="preserve">	04/2022</w:t>
      </w:r>
    </w:p>
    <w:p>
      <w:pPr>
        <w:tabs>
          <w:tab w:val="right" w:pos="10880"/>
        </w:tabs>
        <w:spacing w:before="57"/>
      </w:pPr>
      <w:r>
        <w:rPr>
          <w:rFonts w:ascii="Lato" w:cs="Lato" w:eastAsia="Lato" w:hAnsi="Lato"/>
          <w:color w:val="16191E"/>
          <w:sz w:val="21"/>
          <w:szCs w:val="21"/>
        </w:rPr>
        <w:t xml:space="preserve">Tableau Desktop Specialist</w:t>
      </w:r>
      <w:r>
        <w:rPr>
          <w:rFonts w:ascii="Lato" w:cs="Lato" w:eastAsia="Lato" w:hAnsi="Lato"/>
          <w:color w:val="5F6772"/>
          <w:sz w:val="21"/>
          <w:szCs w:val="21"/>
        </w:rPr>
        <w:t xml:space="preserve">, Tableau</w:t>
      </w:r>
      <w:r>
        <w:rPr>
          <w:rFonts w:ascii="Lato" w:cs="Lato" w:eastAsia="Lato" w:hAnsi="Lato"/>
          <w:color w:val="5F6772"/>
          <w:sz w:val="21"/>
          <w:szCs w:val="21"/>
        </w:rPr>
        <w:t xml:space="preserve">	11/2021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Skills</w:t>
      </w:r>
    </w:p>
    <w:p>
      <w:pPr>
        <w:spacing w:before="0"/>
      </w:pPr>
      <w:r>
        <w:rPr>
          <w:rFonts w:ascii="Lato" w:cs="Lato" w:eastAsia="Lato" w:hAnsi="Lato"/>
          <w:b/>
          <w:bCs/>
          <w:color w:val="16191E"/>
          <w:sz w:val="21"/>
          <w:szCs w:val="21"/>
        </w:rPr>
        <w:t xml:space="preserve">Analysis: </w:t>
      </w:r>
      <w:r>
        <w:rPr>
          <w:rFonts w:ascii="Lato" w:cs="Lato" w:eastAsia="Lato" w:hAnsi="Lato"/>
          <w:color w:val="2A2F37"/>
          <w:sz w:val="21"/>
          <w:szCs w:val="21"/>
        </w:rPr>
        <w:t xml:space="preserve">Program evaluation, Performance measurement, Workload and staffing models, Forecasting, Cost-benefit analysis, Survey design, Process improvement</w:t>
      </w:r>
    </w:p>
    <w:p>
      <w:pPr>
        <w:spacing w:before="57"/>
      </w:pPr>
      <w:r>
        <w:rPr>
          <w:rFonts w:ascii="Lato" w:cs="Lato" w:eastAsia="Lato" w:hAnsi="Lato"/>
          <w:b/>
          <w:bCs/>
          <w:color w:val="16191E"/>
          <w:sz w:val="21"/>
          <w:szCs w:val="21"/>
        </w:rPr>
        <w:t xml:space="preserve">Tools: </w:t>
      </w:r>
      <w:r>
        <w:rPr>
          <w:rFonts w:ascii="Lato" w:cs="Lato" w:eastAsia="Lato" w:hAnsi="Lato"/>
          <w:color w:val="2A2F37"/>
          <w:sz w:val="21"/>
          <w:szCs w:val="21"/>
        </w:rPr>
        <w:t xml:space="preserve">SQL, Tableau, Excel (advanced), R, SharePoint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Additional information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Background investigation: Public Trust, favorably adjudicated 2021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Languages: Spanish (professional working proficiency)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Member, American Evaluation Association</w:t>
      </w:r>
    </w:p>
    <w:sectPr>
      <w:pgSz w:w="12240" w:h="15840" w:orient="portrait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00"/>
    <w:family w:val="swiss"/>
    <w:pitch w:val="variable"/>
    <w:sig w:usb0="800000AF" w:usb1="4000604A" w:usb2="00000000" w:usb3="00000000" w:csb0="20000093" w:csb1="00000000"/>
    <w:embedRegular r:id="rIdJhFont1" w:fontKey="{96B4CA30-3DC2-4109-ACB6-2D1D5E6427FD}"/>
    <w:embedBold r:id="rIdJhFont2" w:fontKey="{4969175C-0556-45BB-9016-8BB51A0E9033}"/>
    <w:embedItalic r:id="rIdJhFont3" w:fontKey="{1959BFCE-98B6-4C73-B770-7CCF7355B9C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Lato" w:cs="Lato" w:eastAsia="Lato" w:hAnsi="Lato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A2F37"/>
        <w:sz w:val="21"/>
        <w:szCs w:val="21"/>
      </w:rPr>
    </w:rPrDefault>
    <w:pPrDefault>
      <w:pPr>
        <w:spacing w:line="273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Dana Okafor — Resume</dc:title>
  <dc:creator>CandidThread</dc:creator>
  <cp:lastModifiedBy>Un-named</cp:lastModifiedBy>
  <cp:revision>1</cp:revision>
  <dcterms:created xsi:type="dcterms:W3CDTF">2026-10-02T07:43:26.193Z</dcterms:created>
  <dcterms:modified xsi:type="dcterms:W3CDTF">2026-10-02T07:43:26.193Z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