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left"/>
      </w:pPr>
      <w:r>
        <w:rPr>
          <w:rFonts w:ascii="Lato" w:cs="Lato" w:eastAsia="Lato" w:hAnsi="Lato"/>
          <w:b/>
          <w:bCs/>
          <w:caps w:val="false"/>
          <w:color w:val="16191E"/>
          <w:sz w:val="53"/>
          <w:szCs w:val="53"/>
        </w:rPr>
        <w:t xml:space="preserve">Teresa Lindqvist</w:t>
      </w:r>
    </w:p>
    <w:p>
      <w:pPr>
        <w:spacing w:before="60"/>
        <w:jc w:val="left"/>
      </w:pPr>
      <w:r>
        <w:rPr>
          <w:rFonts w:ascii="Lato" w:cs="Lato" w:eastAsia="Lato" w:hAnsi="Lato"/>
          <w:b/>
          <w:bCs/>
          <w:i w:val="false"/>
          <w:iCs w:val="false"/>
          <w:caps w:val="false"/>
          <w:color w:val="1C5D8C"/>
          <w:sz w:val="25"/>
          <w:szCs w:val="25"/>
        </w:rPr>
        <w:t xml:space="preserve">Human Resources Specialist (Recruitment &amp; Placement)</w:t>
      </w:r>
    </w:p>
    <w:p>
      <w:pPr>
        <w:spacing w:before="120"/>
        <w:jc w:val="left"/>
      </w:pPr>
      <w:r>
        <w:rPr>
          <w:rFonts w:ascii="Lato" w:cs="Lato" w:eastAsia="Lato" w:hAnsi="Lato"/>
          <w:color w:val="5F6772"/>
          <w:sz w:val="21"/>
          <w:szCs w:val="21"/>
        </w:rPr>
        <w:t xml:space="preserve">Kansas City, MO</w:t>
      </w:r>
      <w:r>
        <w:rPr>
          <w:rFonts w:ascii="Lato" w:cs="Lato" w:eastAsia="Lato" w:hAnsi="Lato"/>
          <w:color w:val="A3AAB3"/>
          <w:sz w:val="21"/>
          <w:szCs w:val="21"/>
        </w:rPr>
        <w:t xml:space="preserve"> · </w:t>
      </w:r>
      <w:r>
        <w:rPr>
          <w:rFonts w:ascii="Lato" w:cs="Lato" w:eastAsia="Lato" w:hAnsi="Lato"/>
          <w:color w:val="5F6772"/>
          <w:sz w:val="21"/>
          <w:szCs w:val="21"/>
        </w:rPr>
        <w:t xml:space="preserve">teresa.lindqvist@example.com</w:t>
      </w:r>
      <w:r>
        <w:rPr>
          <w:rFonts w:ascii="Lato" w:cs="Lato" w:eastAsia="Lato" w:hAnsi="Lato"/>
          <w:color w:val="A3AAB3"/>
          <w:sz w:val="21"/>
          <w:szCs w:val="21"/>
        </w:rPr>
        <w:t xml:space="preserve"> · </w:t>
      </w:r>
      <w:r>
        <w:rPr>
          <w:rFonts w:ascii="Lato" w:cs="Lato" w:eastAsia="Lato" w:hAnsi="Lato"/>
          <w:color w:val="5F6772"/>
          <w:sz w:val="21"/>
          <w:szCs w:val="21"/>
        </w:rPr>
        <w:t xml:space="preserve">(555) 555-0158</w:t>
      </w:r>
    </w:p>
    <w:p>
      <w:pPr>
        <w:spacing w:before="20"/>
        <w:jc w:val="left"/>
      </w:pPr>
      <w:r>
        <w:rPr>
          <w:rFonts w:ascii="Lato" w:cs="Lato" w:eastAsia="Lato" w:hAnsi="Lato"/>
          <w:color w:val="5F6772"/>
          <w:sz w:val="21"/>
          <w:szCs w:val="21"/>
        </w:rPr>
        <w:t xml:space="preserve">U.S. citizen · Current federal employee, GS-0201-11</w:t>
      </w:r>
    </w:p>
    <w:p>
      <w:pPr>
        <w:keepNext/>
        <w:pBdr>
          <w:bottom w:val="single" w:color="D7DBE0" w:sz="4" w:space="3"/>
        </w:pBdr>
        <w:spacing w:after="125" w:before="283"/>
      </w:pPr>
      <w:r>
        <w:rPr>
          <w:rFonts w:ascii="Lato" w:cs="Lato" w:eastAsia="Lato" w:hAnsi="Lato"/>
          <w:b/>
          <w:bCs/>
          <w:caps/>
          <w:color w:val="1C5D8C"/>
          <w:spacing w:val="14"/>
          <w:sz w:val="18"/>
          <w:szCs w:val="18"/>
        </w:rPr>
        <w:t xml:space="preserve">Summary</w:t>
      </w:r>
    </w:p>
    <w:p>
      <w:pPr>
        <w:spacing w:before="0"/>
      </w:pPr>
      <w:r>
        <w:rPr>
          <w:rFonts w:ascii="Lato" w:cs="Lato" w:eastAsia="Lato" w:hAnsi="Lato"/>
          <w:color w:val="2A2F37"/>
          <w:sz w:val="21"/>
          <w:szCs w:val="21"/>
        </w:rPr>
        <w:t xml:space="preserve">Human resources specialist with seven years of federal recruitment and placement experience, including four years at GS-11 delivering full-cycle staffing under delegated examining and merit promotion and designing recruitment strategies for hard-to-fill IT positions. Seeking a GS-0201-12 Human Resources Specialist (Recruitment &amp; Placement) position.</w:t>
      </w:r>
    </w:p>
    <w:p>
      <w:pPr>
        <w:keepNext/>
        <w:pBdr>
          <w:bottom w:val="single" w:color="D7DBE0" w:sz="4" w:space="3"/>
        </w:pBdr>
        <w:spacing w:after="125" w:before="227"/>
      </w:pPr>
      <w:r>
        <w:rPr>
          <w:rFonts w:ascii="Lato" w:cs="Lato" w:eastAsia="Lato" w:hAnsi="Lato"/>
          <w:b/>
          <w:bCs/>
          <w:caps/>
          <w:color w:val="1C5D8C"/>
          <w:spacing w:val="14"/>
          <w:sz w:val="18"/>
          <w:szCs w:val="18"/>
        </w:rPr>
        <w:t xml:space="preserve">Work experience</w:t>
      </w:r>
    </w:p>
    <w:p>
      <w:pPr>
        <w:keepNext/>
        <w:tabs>
          <w:tab w:val="right" w:pos="10880"/>
        </w:tabs>
        <w:spacing w:before="0"/>
      </w:pPr>
      <w:r>
        <w:rPr>
          <w:rFonts w:ascii="Lato" w:cs="Lato" w:eastAsia="Lato" w:hAnsi="Lato"/>
          <w:b/>
          <w:bCs/>
          <w:color w:val="16191E"/>
          <w:sz w:val="22"/>
          <w:szCs w:val="22"/>
        </w:rPr>
        <w:t xml:space="preserve">Human Resources Specialist (Recruitment &amp; Placement)</w:t>
      </w:r>
      <w:r>
        <w:rPr>
          <w:rFonts w:ascii="Lato" w:cs="Lato" w:eastAsia="Lato" w:hAnsi="Lato"/>
          <w:color w:val="5F6772"/>
          <w:sz w:val="21"/>
          <w:szCs w:val="21"/>
        </w:rPr>
        <w:t xml:space="preserve">	05/2022 – Present</w:t>
      </w:r>
    </w:p>
    <w:p>
      <w:pPr>
        <w:keepNext/>
      </w:pPr>
      <w:r>
        <w:rPr>
          <w:rFonts w:ascii="Lato" w:cs="Lato" w:eastAsia="Lato" w:hAnsi="Lato"/>
          <w:b/>
          <w:bCs/>
          <w:i w:val="false"/>
          <w:iCs w:val="false"/>
          <w:color w:val="1C5D8C"/>
          <w:sz w:val="20"/>
          <w:szCs w:val="20"/>
        </w:rPr>
        <w:t xml:space="preserve">Internal Revenue Service, Human Capital Office, Kansas City, MO</w:t>
      </w:r>
    </w:p>
    <w:p>
      <w:pPr>
        <w:keepNext/>
        <w:spacing w:after="34"/>
      </w:pPr>
      <w:r>
        <w:rPr>
          <w:rFonts w:ascii="Lato" w:cs="Lato" w:eastAsia="Lato" w:hAnsi="Lato"/>
          <w:color w:val="5F6772"/>
          <w:sz w:val="19"/>
          <w:szCs w:val="19"/>
        </w:rPr>
        <w:t xml:space="preserve">GS-0201-11 · 40 hours per week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Lato" w:cs="Lato" w:eastAsia="Lato" w:hAnsi="Lato"/>
          <w:color w:val="2A2F37"/>
          <w:sz w:val="21"/>
          <w:szCs w:val="21"/>
        </w:rPr>
        <w:t xml:space="preserve">Provide full-cycle recruitment and placement services to 14 serviced organizations with about 2,100 employees: advise managers on recruitment strategy, assessment and appointing authorities, and carry 160+ actions a year from request to final offer.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Conduct job analysis with subject matter experts for complex 0343, 0511 and 2210 positions; build assessment questionnaires and crediting plans in USA Staffing, 9 of which the office adopted as standard templates.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Determine qualifications, eligibility and veterans’ preference under delegated examining and merit promotion procedures; no errors found in 40 of my case files reviewed in the FY2024 internal accountability audit.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Designed a recruitment plan for hard-to-fill IT positions using direct hire authority, targeted job fairs and USA Hire assessments; time to hire fell from 112 to 74 days and 31 positions were filled in 9 months.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Advise managers on noncompetitive authorities including Schedule A, VRA and the 30 percent or more disabled veteran authority; placed 18 employees under these authorities in FY2025.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Review certificates and qualification determinations by 4 GS-7 and GS-9 specialists before issue, and coach them on complex eligibility questions.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Built attrition and retirement eligibility projections for 3 divisions in Power BI; leadership used them to set the FY2026 hiring plan.</w:t>
      </w:r>
    </w:p>
    <w:p>
      <w:pPr>
        <w:keepNext/>
        <w:tabs>
          <w:tab w:val="right" w:pos="10880"/>
        </w:tabs>
        <w:spacing w:before="136"/>
      </w:pPr>
      <w:r>
        <w:rPr>
          <w:rFonts w:ascii="Lato" w:cs="Lato" w:eastAsia="Lato" w:hAnsi="Lato"/>
          <w:b/>
          <w:bCs/>
          <w:color w:val="16191E"/>
          <w:sz w:val="22"/>
          <w:szCs w:val="22"/>
        </w:rPr>
        <w:t xml:space="preserve">Human Resources Specialist (Recruitment &amp; Placement)</w:t>
      </w:r>
      <w:r>
        <w:rPr>
          <w:rFonts w:ascii="Lato" w:cs="Lato" w:eastAsia="Lato" w:hAnsi="Lato"/>
          <w:color w:val="5F6772"/>
          <w:sz w:val="21"/>
          <w:szCs w:val="21"/>
        </w:rPr>
        <w:t xml:space="preserve">	08/2019 – 04/2022</w:t>
      </w:r>
    </w:p>
    <w:p>
      <w:pPr>
        <w:keepNext/>
      </w:pPr>
      <w:r>
        <w:rPr>
          <w:rFonts w:ascii="Lato" w:cs="Lato" w:eastAsia="Lato" w:hAnsi="Lato"/>
          <w:b/>
          <w:bCs/>
          <w:i w:val="false"/>
          <w:iCs w:val="false"/>
          <w:color w:val="1C5D8C"/>
          <w:sz w:val="20"/>
          <w:szCs w:val="20"/>
        </w:rPr>
        <w:t xml:space="preserve">Social Security Administration, Office of Human Resources, Kansas City, MO</w:t>
      </w:r>
    </w:p>
    <w:p>
      <w:pPr>
        <w:keepNext/>
        <w:spacing w:after="34"/>
      </w:pPr>
      <w:r>
        <w:rPr>
          <w:rFonts w:ascii="Lato" w:cs="Lato" w:eastAsia="Lato" w:hAnsi="Lato"/>
          <w:color w:val="5F6772"/>
          <w:sz w:val="19"/>
          <w:szCs w:val="19"/>
        </w:rPr>
        <w:t xml:space="preserve">GS-0201-09 · 40 hours per week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Lato" w:cs="Lato" w:eastAsia="Lato" w:hAnsi="Lato"/>
          <w:color w:val="2A2F37"/>
          <w:sz w:val="21"/>
          <w:szCs w:val="21"/>
        </w:rPr>
        <w:t xml:space="preserve">Processed 120+ recruitment actions a year for field offices in 4 states: drafted job announcements, rated applicants, issued certificates and made tentative and final offers.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Rated 900+ applications a year against OPM qualification standards and applied veterans’ preference under category rating, with review by senior specialists.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Cut average certificate issue time from 9 to 5 days by building a shared case tracker the team still uses.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Answered applicant and manager questions on qualifications, appointing authorities and vacancy status for a caseload of about 35 open announcements.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Completed a 6-month rotation with the classification team, writing position descriptions and evaluation statements for 25 positions.</w:t>
      </w:r>
    </w:p>
    <w:p>
      <w:pPr>
        <w:keepNext/>
        <w:tabs>
          <w:tab w:val="right" w:pos="10880"/>
        </w:tabs>
        <w:spacing w:before="136"/>
      </w:pPr>
      <w:r>
        <w:rPr>
          <w:rFonts w:ascii="Lato" w:cs="Lato" w:eastAsia="Lato" w:hAnsi="Lato"/>
          <w:b/>
          <w:bCs/>
          <w:color w:val="16191E"/>
          <w:sz w:val="22"/>
          <w:szCs w:val="22"/>
        </w:rPr>
        <w:t xml:space="preserve">Human Resources Coordinator</w:t>
      </w:r>
      <w:r>
        <w:rPr>
          <w:rFonts w:ascii="Lato" w:cs="Lato" w:eastAsia="Lato" w:hAnsi="Lato"/>
          <w:color w:val="5F6772"/>
          <w:sz w:val="21"/>
          <w:szCs w:val="21"/>
        </w:rPr>
        <w:t xml:space="preserve">	06/2016 – 07/2019</w:t>
      </w:r>
    </w:p>
    <w:p>
      <w:pPr>
        <w:keepNext/>
      </w:pPr>
      <w:r>
        <w:rPr>
          <w:rFonts w:ascii="Lato" w:cs="Lato" w:eastAsia="Lato" w:hAnsi="Lato"/>
          <w:b/>
          <w:bCs/>
          <w:i w:val="false"/>
          <w:iCs w:val="false"/>
          <w:color w:val="1C5D8C"/>
          <w:sz w:val="20"/>
          <w:szCs w:val="20"/>
        </w:rPr>
        <w:t xml:space="preserve">Prairie Health Partners, Overland Park, KS</w:t>
      </w:r>
    </w:p>
    <w:p>
      <w:pPr>
        <w:keepNext/>
        <w:spacing w:after="34"/>
      </w:pPr>
      <w:r>
        <w:rPr>
          <w:rFonts w:ascii="Lato" w:cs="Lato" w:eastAsia="Lato" w:hAnsi="Lato"/>
          <w:color w:val="5F6772"/>
          <w:sz w:val="19"/>
          <w:szCs w:val="19"/>
        </w:rPr>
        <w:t xml:space="preserve">40 hours per week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Lato" w:cs="Lato" w:eastAsia="Lato" w:hAnsi="Lato"/>
          <w:color w:val="2A2F37"/>
          <w:sz w:val="21"/>
          <w:szCs w:val="21"/>
        </w:rPr>
        <w:t xml:space="preserve">Coordinated hiring for a 600-employee clinic network: posted openings, screened applicants, scheduled interviews and onboarded 150+ new hires a year.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Maintained applicant tracking and personnel records with no findings in 2 state licensing audits.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Ran campus recruiting with 3 nursing and allied health schools, bringing in about 40 interns a year.</w:t>
      </w:r>
    </w:p>
    <w:p>
      <w:pPr>
        <w:keepNext/>
        <w:pBdr>
          <w:bottom w:val="single" w:color="D7DBE0" w:sz="4" w:space="3"/>
        </w:pBdr>
        <w:spacing w:after="125" w:before="227"/>
      </w:pPr>
      <w:r>
        <w:rPr>
          <w:rFonts w:ascii="Lato" w:cs="Lato" w:eastAsia="Lato" w:hAnsi="Lato"/>
          <w:b/>
          <w:bCs/>
          <w:caps/>
          <w:color w:val="1C5D8C"/>
          <w:spacing w:val="14"/>
          <w:sz w:val="18"/>
          <w:szCs w:val="18"/>
        </w:rPr>
        <w:t xml:space="preserve">Education</w:t>
      </w:r>
    </w:p>
    <w:p>
      <w:pPr>
        <w:keepNext/>
        <w:tabs>
          <w:tab w:val="right" w:pos="10880"/>
        </w:tabs>
        <w:spacing w:before="0"/>
      </w:pPr>
      <w:r>
        <w:rPr>
          <w:rFonts w:ascii="Lato" w:cs="Lato" w:eastAsia="Lato" w:hAnsi="Lato"/>
          <w:b/>
          <w:bCs/>
          <w:color w:val="16191E"/>
          <w:sz w:val="22"/>
          <w:szCs w:val="22"/>
        </w:rPr>
        <w:t xml:space="preserve">Bachelor of Arts, Psychology</w:t>
      </w:r>
      <w:r>
        <w:rPr>
          <w:rFonts w:ascii="Lato" w:cs="Lato" w:eastAsia="Lato" w:hAnsi="Lato"/>
          <w:color w:val="5F6772"/>
          <w:sz w:val="21"/>
          <w:szCs w:val="21"/>
        </w:rPr>
        <w:t xml:space="preserve">	05/2016</w:t>
      </w:r>
    </w:p>
    <w:p>
      <w:pPr>
        <w:keepNext/>
      </w:pPr>
      <w:r>
        <w:rPr>
          <w:rFonts w:ascii="Lato" w:cs="Lato" w:eastAsia="Lato" w:hAnsi="Lato"/>
          <w:b/>
          <w:bCs/>
          <w:i w:val="false"/>
          <w:iCs w:val="false"/>
          <w:color w:val="1C5D8C"/>
          <w:sz w:val="20"/>
          <w:szCs w:val="20"/>
        </w:rPr>
        <w:t xml:space="preserve">University of Kansas</w:t>
      </w:r>
      <w:r>
        <w:rPr>
          <w:rFonts w:ascii="Lato" w:cs="Lato" w:eastAsia="Lato" w:hAnsi="Lato"/>
          <w:color w:val="5F6772"/>
          <w:sz w:val="20"/>
          <w:szCs w:val="20"/>
        </w:rPr>
        <w:t xml:space="preserve"> · </w:t>
      </w:r>
      <w:r>
        <w:rPr>
          <w:rFonts w:ascii="Lato" w:cs="Lato" w:eastAsia="Lato" w:hAnsi="Lato"/>
          <w:color w:val="5F6772"/>
          <w:sz w:val="20"/>
          <w:szCs w:val="20"/>
        </w:rPr>
        <w:t xml:space="preserve">GPA 3.5/4.0</w:t>
      </w:r>
    </w:p>
    <w:p>
      <w:pPr>
        <w:keepNext/>
        <w:pBdr>
          <w:bottom w:val="single" w:color="D7DBE0" w:sz="4" w:space="3"/>
        </w:pBdr>
        <w:spacing w:after="125" w:before="227"/>
      </w:pPr>
      <w:r>
        <w:rPr>
          <w:rFonts w:ascii="Lato" w:cs="Lato" w:eastAsia="Lato" w:hAnsi="Lato"/>
          <w:b/>
          <w:bCs/>
          <w:caps/>
          <w:color w:val="1C5D8C"/>
          <w:spacing w:val="14"/>
          <w:sz w:val="18"/>
          <w:szCs w:val="18"/>
        </w:rPr>
        <w:t xml:space="preserve">Certifications and training</w:t>
      </w:r>
    </w:p>
    <w:p>
      <w:pPr>
        <w:tabs>
          <w:tab w:val="right" w:pos="10880"/>
        </w:tabs>
        <w:spacing w:before="0"/>
      </w:pPr>
      <w:r>
        <w:rPr>
          <w:rFonts w:ascii="Lato" w:cs="Lato" w:eastAsia="Lato" w:hAnsi="Lato"/>
          <w:color w:val="16191E"/>
          <w:sz w:val="21"/>
          <w:szCs w:val="21"/>
        </w:rPr>
        <w:t xml:space="preserve">Delegated Examining Certification</w:t>
      </w:r>
      <w:r>
        <w:rPr>
          <w:rFonts w:ascii="Lato" w:cs="Lato" w:eastAsia="Lato" w:hAnsi="Lato"/>
          <w:color w:val="5F6772"/>
          <w:sz w:val="21"/>
          <w:szCs w:val="21"/>
        </w:rPr>
        <w:t xml:space="preserve">, U.S. Office of Personnel Management</w:t>
      </w:r>
      <w:r>
        <w:rPr>
          <w:rFonts w:ascii="Lato" w:cs="Lato" w:eastAsia="Lato" w:hAnsi="Lato"/>
          <w:color w:val="5F6772"/>
          <w:sz w:val="21"/>
          <w:szCs w:val="21"/>
        </w:rPr>
        <w:t xml:space="preserve">	04/2020</w:t>
      </w:r>
    </w:p>
    <w:p>
      <w:pPr>
        <w:tabs>
          <w:tab w:val="right" w:pos="10880"/>
        </w:tabs>
        <w:spacing w:before="57"/>
      </w:pPr>
      <w:r>
        <w:rPr>
          <w:rFonts w:ascii="Lato" w:cs="Lato" w:eastAsia="Lato" w:hAnsi="Lato"/>
          <w:color w:val="16191E"/>
          <w:sz w:val="21"/>
          <w:szCs w:val="21"/>
        </w:rPr>
        <w:t xml:space="preserve">SHRM Certified Professional (SHRM-CP)</w:t>
      </w:r>
      <w:r>
        <w:rPr>
          <w:rFonts w:ascii="Lato" w:cs="Lato" w:eastAsia="Lato" w:hAnsi="Lato"/>
          <w:color w:val="5F6772"/>
          <w:sz w:val="21"/>
          <w:szCs w:val="21"/>
        </w:rPr>
        <w:t xml:space="preserve">, SHRM</w:t>
      </w:r>
      <w:r>
        <w:rPr>
          <w:rFonts w:ascii="Lato" w:cs="Lato" w:eastAsia="Lato" w:hAnsi="Lato"/>
          <w:color w:val="5F6772"/>
          <w:sz w:val="21"/>
          <w:szCs w:val="21"/>
        </w:rPr>
        <w:t xml:space="preserve">	11/2021</w:t>
      </w:r>
    </w:p>
    <w:p>
      <w:pPr>
        <w:keepNext/>
        <w:pBdr>
          <w:bottom w:val="single" w:color="D7DBE0" w:sz="4" w:space="3"/>
        </w:pBdr>
        <w:spacing w:after="125" w:before="227"/>
      </w:pPr>
      <w:r>
        <w:rPr>
          <w:rFonts w:ascii="Lato" w:cs="Lato" w:eastAsia="Lato" w:hAnsi="Lato"/>
          <w:b/>
          <w:bCs/>
          <w:caps/>
          <w:color w:val="1C5D8C"/>
          <w:spacing w:val="14"/>
          <w:sz w:val="18"/>
          <w:szCs w:val="18"/>
        </w:rPr>
        <w:t xml:space="preserve">Skills</w:t>
      </w:r>
    </w:p>
    <w:p>
      <w:pPr>
        <w:spacing w:before="0"/>
      </w:pPr>
      <w:r>
        <w:rPr>
          <w:rFonts w:ascii="Lato" w:cs="Lato" w:eastAsia="Lato" w:hAnsi="Lato"/>
          <w:b/>
          <w:bCs/>
          <w:color w:val="16191E"/>
          <w:sz w:val="21"/>
          <w:szCs w:val="21"/>
        </w:rPr>
        <w:t xml:space="preserve">Staffing: </w:t>
      </w:r>
      <w:r>
        <w:rPr>
          <w:rFonts w:ascii="Lato" w:cs="Lato" w:eastAsia="Lato" w:hAnsi="Lato"/>
          <w:color w:val="2A2F37"/>
          <w:sz w:val="21"/>
          <w:szCs w:val="21"/>
        </w:rPr>
        <w:t xml:space="preserve">Job analysis, Assessment questionnaires, Category rating, Veterans’ preference, Merit promotion, Special appointing authorities, Direct hire, Workforce planning</w:t>
      </w:r>
    </w:p>
    <w:p>
      <w:pPr>
        <w:spacing w:before="57"/>
      </w:pPr>
      <w:r>
        <w:rPr>
          <w:rFonts w:ascii="Lato" w:cs="Lato" w:eastAsia="Lato" w:hAnsi="Lato"/>
          <w:b/>
          <w:bCs/>
          <w:color w:val="16191E"/>
          <w:sz w:val="21"/>
          <w:szCs w:val="21"/>
        </w:rPr>
        <w:t xml:space="preserve">Tools: </w:t>
      </w:r>
      <w:r>
        <w:rPr>
          <w:rFonts w:ascii="Lato" w:cs="Lato" w:eastAsia="Lato" w:hAnsi="Lato"/>
          <w:color w:val="2A2F37"/>
          <w:sz w:val="21"/>
          <w:szCs w:val="21"/>
        </w:rPr>
        <w:t xml:space="preserve">USA Staffing, USA Hire, HR Connect, Power BI, Excel (advanced)</w:t>
      </w:r>
    </w:p>
    <w:p>
      <w:pPr>
        <w:keepNext/>
        <w:pBdr>
          <w:bottom w:val="single" w:color="D7DBE0" w:sz="4" w:space="3"/>
        </w:pBdr>
        <w:spacing w:after="125" w:before="227"/>
      </w:pPr>
      <w:r>
        <w:rPr>
          <w:rFonts w:ascii="Lato" w:cs="Lato" w:eastAsia="Lato" w:hAnsi="Lato"/>
          <w:b/>
          <w:bCs/>
          <w:caps/>
          <w:color w:val="1C5D8C"/>
          <w:spacing w:val="14"/>
          <w:sz w:val="18"/>
          <w:szCs w:val="18"/>
        </w:rPr>
        <w:t xml:space="preserve">Additional information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Lato" w:cs="Lato" w:eastAsia="Lato" w:hAnsi="Lato"/>
          <w:color w:val="2A2F37"/>
          <w:sz w:val="21"/>
          <w:szCs w:val="21"/>
        </w:rPr>
        <w:t xml:space="preserve">Public Trust: Moderate Risk background investigation, current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Languages: Spanish (professional working proficiency)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Special Act Award (2024) for the IT direct hire recruitment plan</w:t>
      </w:r>
    </w:p>
    <w:p>
      <w:pPr>
        <w:pStyle w:val="ListParagraph"/>
        <w:numPr>
          <w:ilvl w:val="0"/>
          <w:numId w:val="2"/>
        </w:numPr>
        <w:spacing w:before="28"/>
      </w:pPr>
      <w:r>
        <w:rPr>
          <w:rFonts w:ascii="Lato" w:cs="Lato" w:eastAsia="Lato" w:hAnsi="Lato"/>
          <w:color w:val="2A2F37"/>
          <w:sz w:val="21"/>
          <w:szCs w:val="21"/>
        </w:rPr>
        <w:t xml:space="preserve">Member, International Public Management Association for Human Resources (IPMA-HR)</w:t>
      </w:r>
    </w:p>
    <w:sectPr>
      <w:pgSz w:w="12240" w:h="15840" w:orient="portrait"/>
      <w:pgMar w:top="680" w:right="680" w:bottom="680" w:left="6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ato">
    <w:panose1 w:val="020F0502020204030203"/>
    <w:charset w:val="00"/>
    <w:family w:val="swiss"/>
    <w:pitch w:val="variable"/>
    <w:sig w:usb0="800000AF" w:usb1="4000604A" w:usb2="00000000" w:usb3="00000000" w:csb0="20000093" w:csb1="00000000"/>
    <w:embedRegular r:id="rIdJhFont1" w:fontKey="{87BA133D-55A5-4C19-87E2-109A67F8388D}"/>
    <w:embedBold r:id="rIdJhFont2" w:fontKey="{B64E6800-4F1E-445C-90BD-BBA4CC9047B7}"/>
    <w:embedItalic r:id="rIdJhFont3" w:fontKey="{39F7B176-A1BD-4467-9AEC-C2B5BB8C71E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1" w:hanging="193"/>
      </w:pPr>
      <w:rPr>
        <w:rFonts w:ascii="Lato" w:cs="Lato" w:eastAsia="Lato" w:hAnsi="Lato"/>
        <w:color w:val="1C5D8C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A2F37"/>
        <w:sz w:val="21"/>
        <w:szCs w:val="21"/>
      </w:rPr>
    </w:rPrDefault>
    <w:pPrDefault>
      <w:pPr>
        <w:spacing w:line="273" w:lineRule="atLeas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JhFont1" Type="http://schemas.openxmlformats.org/officeDocument/2006/relationships/font" Target="fonts/jh-font1.odttf"/><Relationship Id="rIdJhFont2" Type="http://schemas.openxmlformats.org/officeDocument/2006/relationships/font" Target="fonts/jh-font2.odttf"/><Relationship Id="rIdJhFont3" Type="http://schemas.openxmlformats.org/officeDocument/2006/relationships/font" Target="fonts/jh-font3.odttf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Teresa Lindqvist — Resume</dc:title>
  <dc:creator>CandidThread</dc:creator>
  <cp:lastModifiedBy>Un-named</cp:lastModifiedBy>
  <cp:revision>1</cp:revision>
  <dcterms:created xsi:type="dcterms:W3CDTF">2026-10-02T07:43:30.279Z</dcterms:created>
  <dcterms:modified xsi:type="dcterms:W3CDTF">2026-10-02T07:43:30.279Z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